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76" w:rsidRPr="001048E6" w:rsidRDefault="00FB3776" w:rsidP="00FB0332">
      <w:pPr>
        <w:pStyle w:val="Ttol3"/>
        <w:keepLines/>
        <w:tabs>
          <w:tab w:val="left" w:pos="0"/>
          <w:tab w:val="left" w:pos="2880"/>
        </w:tabs>
        <w:spacing w:before="0" w:after="80" w:line="432" w:lineRule="exact"/>
        <w:jc w:val="both"/>
        <w:rPr>
          <w:rFonts w:ascii="Arial" w:eastAsiaTheme="majorEastAsia" w:hAnsi="Arial" w:cs="Arial"/>
          <w:color w:val="000078"/>
          <w:sz w:val="36"/>
          <w:szCs w:val="36"/>
          <w:lang w:val="es-ES_tradnl"/>
        </w:rPr>
      </w:pPr>
      <w:r w:rsidRPr="001048E6">
        <w:rPr>
          <w:rFonts w:ascii="Arial" w:eastAsiaTheme="majorEastAsia" w:hAnsi="Arial" w:cs="Arial"/>
          <w:color w:val="000078"/>
          <w:sz w:val="36"/>
          <w:szCs w:val="36"/>
          <w:lang w:val="es-ES_tradnl"/>
        </w:rPr>
        <w:t>Acuerdo del Consejo de Dirección sobre la modificación de la Normativa académica de la UOC aplicable a los estudios universitarios EEES</w:t>
      </w:r>
    </w:p>
    <w:p w:rsidR="00FB3776" w:rsidRPr="001048E6" w:rsidRDefault="00FB3776" w:rsidP="00FB0332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FB3776" w:rsidRPr="001048E6" w:rsidRDefault="00FB3776" w:rsidP="00FB0332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B3776" w:rsidRPr="001048E6" w:rsidRDefault="00FB3776" w:rsidP="00FB0332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B3776" w:rsidRPr="001048E6" w:rsidRDefault="00FB3776" w:rsidP="00FB0332">
      <w:pPr>
        <w:tabs>
          <w:tab w:val="left" w:pos="0"/>
          <w:tab w:val="left" w:pos="2880"/>
        </w:tabs>
        <w:spacing w:after="264" w:line="264" w:lineRule="exact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El Consejo de Dirección de la UOC, reunido en fecha 31 de julio de 2017, acuerda:</w:t>
      </w:r>
    </w:p>
    <w:p w:rsidR="00FB3776" w:rsidRPr="001048E6" w:rsidRDefault="00FB3776" w:rsidP="004154B1">
      <w:pPr>
        <w:pStyle w:val="Pargrafdellista"/>
        <w:numPr>
          <w:ilvl w:val="0"/>
          <w:numId w:val="1"/>
        </w:numPr>
        <w:tabs>
          <w:tab w:val="left" w:pos="0"/>
          <w:tab w:val="left" w:pos="2880"/>
        </w:tabs>
        <w:spacing w:after="264" w:line="264" w:lineRule="exact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 xml:space="preserve">Modificar el apartado 1 del artículo 68, que queda redactado en los </w:t>
      </w:r>
      <w:r w:rsidR="001048E6" w:rsidRPr="001048E6">
        <w:rPr>
          <w:rFonts w:ascii="Arial" w:eastAsiaTheme="minorEastAsia" w:hAnsi="Arial" w:cs="Arial"/>
          <w:color w:val="000078"/>
          <w:sz w:val="22"/>
          <w:lang w:val="es-ES_tradnl"/>
        </w:rPr>
        <w:t xml:space="preserve">siguientes 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términos:</w:t>
      </w:r>
    </w:p>
    <w:p w:rsidR="00FB0332" w:rsidRPr="001048E6" w:rsidRDefault="00FB0332" w:rsidP="001048E6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 xml:space="preserve">«1. Por la participación en actividades universitarias culturales, deportivas, de representación estudiantil, solidarias y de cooperación (RECAAU), se puede obtener el reconocimiento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de 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hasta un máximo de seis (6) créditos ECTS optativos en las enseñanzas oficiales de grado.» </w:t>
      </w:r>
    </w:p>
    <w:p w:rsidR="00FB0332" w:rsidRPr="001048E6" w:rsidRDefault="00FB0332" w:rsidP="00FB0332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FB0332" w:rsidRPr="001048E6" w:rsidRDefault="00FB0332" w:rsidP="00872CED">
      <w:pPr>
        <w:pStyle w:val="Pargrafdellista"/>
        <w:numPr>
          <w:ilvl w:val="0"/>
          <w:numId w:val="1"/>
        </w:numPr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Modificar el apartado 2 del artículo 96, que queda redactado en los siguientes t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érmino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s:</w:t>
      </w:r>
    </w:p>
    <w:p w:rsidR="00FB0332" w:rsidRPr="001048E6" w:rsidRDefault="00FB0332" w:rsidP="00FB0332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FB0332" w:rsidRPr="001048E6" w:rsidRDefault="00FB0332" w:rsidP="00FB0332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«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2. La nota final de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l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a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E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C y de las prácticas (Pr) se completa con una nota equivalente numérica, con un decimal, de acuerdo con las correspondencias siguientes:</w:t>
      </w:r>
    </w:p>
    <w:p w:rsidR="00FB0332" w:rsidRPr="001048E6" w:rsidRDefault="00FB0332" w:rsidP="00FB0332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tbl>
      <w:tblPr>
        <w:tblW w:w="0" w:type="auto"/>
        <w:tblInd w:w="3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359"/>
      </w:tblGrid>
      <w:tr w:rsidR="00FB0332" w:rsidRPr="001048E6" w:rsidTr="00345B49">
        <w:trPr>
          <w:trHeight w:val="237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9,0 a 10</w:t>
            </w:r>
          </w:p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 </w:t>
            </w:r>
          </w:p>
        </w:tc>
      </w:tr>
      <w:tr w:rsidR="00FB0332" w:rsidRPr="001048E6" w:rsidTr="00345B49">
        <w:trPr>
          <w:trHeight w:val="32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7,0 a 8,9</w:t>
            </w:r>
          </w:p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 </w:t>
            </w:r>
          </w:p>
        </w:tc>
      </w:tr>
      <w:tr w:rsidR="00345B49" w:rsidRPr="001048E6" w:rsidTr="00345B49">
        <w:trPr>
          <w:trHeight w:val="5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49" w:rsidRPr="001048E6" w:rsidRDefault="00345B49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</w:p>
          <w:p w:rsidR="00345B49" w:rsidRPr="001048E6" w:rsidRDefault="00345B49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49" w:rsidRPr="001048E6" w:rsidRDefault="00345B49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</w:p>
          <w:p w:rsidR="00345B49" w:rsidRPr="001048E6" w:rsidRDefault="00345B49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</w:p>
        </w:tc>
      </w:tr>
      <w:tr w:rsidR="00FB0332" w:rsidRPr="001048E6" w:rsidTr="00345B49">
        <w:trPr>
          <w:trHeight w:val="237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C+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5,0 a 6,9</w:t>
            </w:r>
          </w:p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 </w:t>
            </w:r>
          </w:p>
        </w:tc>
      </w:tr>
      <w:tr w:rsidR="00FB0332" w:rsidRPr="001048E6" w:rsidTr="00345B49">
        <w:trPr>
          <w:trHeight w:val="237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C-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3,0 a 4,9</w:t>
            </w:r>
          </w:p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 </w:t>
            </w:r>
          </w:p>
        </w:tc>
      </w:tr>
      <w:tr w:rsidR="00FB0332" w:rsidRPr="001048E6" w:rsidTr="00345B49">
        <w:trPr>
          <w:trHeight w:val="237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0 a 2,9</w:t>
            </w:r>
          </w:p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 </w:t>
            </w:r>
          </w:p>
        </w:tc>
      </w:tr>
      <w:tr w:rsidR="00FB0332" w:rsidRPr="001048E6" w:rsidTr="00345B49">
        <w:trPr>
          <w:trHeight w:val="27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No se emite nota</w:t>
            </w:r>
          </w:p>
          <w:p w:rsidR="00FB0332" w:rsidRPr="001048E6" w:rsidRDefault="00FB0332">
            <w:pPr>
              <w:jc w:val="center"/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0"/>
                <w:szCs w:val="20"/>
                <w:lang w:val="es-ES_tradnl"/>
              </w:rPr>
              <w:t> </w:t>
            </w:r>
          </w:p>
        </w:tc>
      </w:tr>
    </w:tbl>
    <w:p w:rsidR="002B56A5" w:rsidRPr="001048E6" w:rsidRDefault="002B56A5" w:rsidP="002B56A5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B56A5" w:rsidRPr="001048E6" w:rsidRDefault="002B56A5" w:rsidP="002B56A5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B56A5" w:rsidRPr="001048E6" w:rsidRDefault="002B56A5" w:rsidP="00F07AA5">
      <w:pPr>
        <w:pStyle w:val="Pargrafdellista"/>
        <w:numPr>
          <w:ilvl w:val="0"/>
          <w:numId w:val="1"/>
        </w:numPr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Modificar el apartado 1, letra c, del artículo 104, que queda redactado en los siguientes t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érmino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s:</w:t>
      </w:r>
    </w:p>
    <w:p w:rsidR="002B56A5" w:rsidRPr="001048E6" w:rsidRDefault="002B56A5" w:rsidP="002B56A5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B56A5" w:rsidRPr="001048E6" w:rsidRDefault="002B56A5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color w:val="222222"/>
          <w:lang w:val="es-ES_tradnl"/>
        </w:rPr>
        <w:t>«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c. Haber agotado las cuatro convocatorias ordinarias en aquella asignatura y </w:t>
      </w:r>
      <w:r w:rsidR="00391EE2">
        <w:rPr>
          <w:rFonts w:ascii="Arial" w:eastAsiaTheme="minorEastAsia" w:hAnsi="Arial" w:cs="Arial"/>
          <w:color w:val="000078"/>
          <w:sz w:val="22"/>
          <w:lang w:val="es-ES_tradnl"/>
        </w:rPr>
        <w:t xml:space="preserve">para 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aquella titulación. En las titulaciones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cuy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a implantación haya supuesto la extinción de una titulación de la anterior ordenación universitaria (LRU) se tendrán en cuenta las convocatorias agotadas en el expediente académico previo a la adaptación, a efectos del cómputo de las mencionadas convocatorias</w:t>
      </w:r>
      <w:r w:rsidRPr="0086324E">
        <w:rPr>
          <w:rFonts w:ascii="Arial" w:hAnsi="Arial" w:cs="Arial"/>
          <w:color w:val="222222"/>
          <w:sz w:val="19"/>
          <w:szCs w:val="19"/>
          <w:lang w:val="es-ES_tradnl"/>
        </w:rPr>
        <w:t>.</w:t>
      </w:r>
      <w:r w:rsidRPr="001048E6">
        <w:rPr>
          <w:rFonts w:ascii="Arial" w:hAnsi="Arial" w:cs="Arial"/>
          <w:color w:val="222222"/>
          <w:sz w:val="19"/>
          <w:szCs w:val="19"/>
          <w:lang w:val="es-ES_tradnl"/>
        </w:rPr>
        <w:t>»</w:t>
      </w:r>
    </w:p>
    <w:p w:rsidR="002B56A5" w:rsidRPr="001048E6" w:rsidRDefault="002B56A5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bookmarkStart w:id="0" w:name="_GoBack"/>
      <w:bookmarkEnd w:id="0"/>
    </w:p>
    <w:p w:rsidR="00FB3776" w:rsidRPr="001048E6" w:rsidRDefault="00FB3776" w:rsidP="00B623A1">
      <w:pPr>
        <w:pStyle w:val="Pargrafdellista"/>
        <w:ind w:left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FB3776" w:rsidRPr="001048E6" w:rsidRDefault="00FB3776" w:rsidP="00B623A1">
      <w:pPr>
        <w:pStyle w:val="Pargrafdellista"/>
        <w:ind w:left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2B56A5" w:rsidRPr="001048E6" w:rsidRDefault="002B56A5" w:rsidP="00E446A0">
      <w:pPr>
        <w:pStyle w:val="Pargrafdellista"/>
        <w:numPr>
          <w:ilvl w:val="0"/>
          <w:numId w:val="1"/>
        </w:numPr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Modificar los apartados 4 y 5 del artículo 105, así como la incorporación de un nuevo apartado 6, que quedan redactados en los siguientes t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érmino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s</w:t>
      </w:r>
      <w:r w:rsidRPr="001048E6">
        <w:rPr>
          <w:rFonts w:ascii="Arial" w:eastAsiaTheme="majorEastAsia" w:hAnsi="Arial" w:cs="Arial"/>
          <w:sz w:val="20"/>
          <w:szCs w:val="20"/>
          <w:lang w:val="es-ES_tradnl"/>
        </w:rPr>
        <w:t xml:space="preserve">: </w:t>
      </w:r>
    </w:p>
    <w:p w:rsidR="002B56A5" w:rsidRPr="001048E6" w:rsidRDefault="002B56A5" w:rsidP="002B56A5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B56A5" w:rsidRPr="0086324E" w:rsidRDefault="002B56A5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«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4. El Tribunal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debe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resolver las solicitudes en conformidad con los siguientes criterios de valoración: la trayectoria académica del estudiante, las competencias logradas a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lo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largo de la titulación, los méritos realizados para superar la asignatura y, excepcionalmente, las circunstancias personales que concurran en el estudiante. </w:t>
      </w:r>
    </w:p>
    <w:p w:rsidR="002B56A5" w:rsidRPr="0086324E" w:rsidRDefault="002B56A5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B56A5" w:rsidRPr="0086324E" w:rsidRDefault="002B56A5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5. La resolución del Tribunal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debe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ser motivada y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se debe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notificar al estudiante mediante los canales habituales de comunicación de la UOC, en los tres días siguientes a la adopción. No se puede interponer ningún recurso contra la resolución del Tribunal. </w:t>
      </w:r>
    </w:p>
    <w:p w:rsidR="001048E6" w:rsidRPr="0086324E" w:rsidRDefault="001048E6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B56A5" w:rsidRPr="001048E6" w:rsidRDefault="002B56A5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6. Si la resolución es positiva, la asignatura es objeto de compensación y se incluye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en e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l expediente académico del estudiante con la indicación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"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apto por compensación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"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, que computa como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"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(5,0)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"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.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» </w:t>
      </w:r>
    </w:p>
    <w:p w:rsidR="002B56A5" w:rsidRPr="001048E6" w:rsidRDefault="002B56A5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E5F83" w:rsidRPr="001048E6" w:rsidRDefault="002E5F83" w:rsidP="00DC2A70">
      <w:pPr>
        <w:pStyle w:val="Pargrafdellista"/>
        <w:numPr>
          <w:ilvl w:val="0"/>
          <w:numId w:val="1"/>
        </w:numPr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Modificar el artículo 121, que queda redactado en los siguiente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s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 xml:space="preserve"> t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érmino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s:</w:t>
      </w:r>
    </w:p>
    <w:p w:rsidR="002E5F83" w:rsidRPr="001048E6" w:rsidRDefault="002E5F83" w:rsidP="002E5F83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E5F83" w:rsidRPr="0086324E" w:rsidRDefault="002E5F83" w:rsidP="002E5F83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«La extinción de los estudios oficiales de grado y máster universitario se rige por las disposiciones previstas en este título. Estas disposiciones también son de aplicación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en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los programas propios.</w:t>
      </w:r>
    </w:p>
    <w:p w:rsidR="002E5F83" w:rsidRPr="0086324E" w:rsidRDefault="002E5F83" w:rsidP="002E5F83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E5F83" w:rsidRPr="0086324E" w:rsidRDefault="002E5F83" w:rsidP="001048E6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Los estudiantes de estas enseñanzas pueden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seguir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sus estudios hasta la extinción del plan de estudios o programa.»</w:t>
      </w:r>
    </w:p>
    <w:p w:rsidR="002E5F83" w:rsidRPr="001048E6" w:rsidRDefault="002E5F83" w:rsidP="002E5F83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B56A5" w:rsidRPr="001048E6" w:rsidRDefault="002B56A5" w:rsidP="00027B29">
      <w:pPr>
        <w:pStyle w:val="Pargrafdellista"/>
        <w:numPr>
          <w:ilvl w:val="0"/>
          <w:numId w:val="1"/>
        </w:numPr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Modificar el apartado 1 del artículo 124, que queda redactado en los siguientes t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érmino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s:</w:t>
      </w:r>
    </w:p>
    <w:p w:rsidR="002B56A5" w:rsidRPr="001048E6" w:rsidRDefault="002B56A5" w:rsidP="002B56A5">
      <w:pPr>
        <w:pStyle w:val="Pargrafdellista"/>
        <w:ind w:left="360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</w:p>
    <w:p w:rsidR="002B56A5" w:rsidRPr="0086324E" w:rsidRDefault="002B56A5" w:rsidP="002B56A5">
      <w:pPr>
        <w:pStyle w:val="Pargrafdellista"/>
        <w:ind w:left="709"/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«1. En los planes de estudios oficiales, un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a vez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 xml:space="preserve"> agotada la docencia regular de una asignatura, el estudiante dispone de cuatro convocatorias de examen o de sistemas alternativos a la docencia y </w:t>
      </w:r>
      <w:r w:rsidR="0009262E">
        <w:rPr>
          <w:rFonts w:ascii="Arial" w:eastAsiaTheme="minorEastAsia" w:hAnsi="Arial" w:cs="Arial"/>
          <w:color w:val="000078"/>
          <w:sz w:val="22"/>
          <w:lang w:val="es-ES_tradnl"/>
        </w:rPr>
        <w:t xml:space="preserve">de </w:t>
      </w:r>
      <w:r w:rsidRPr="0086324E">
        <w:rPr>
          <w:rFonts w:ascii="Arial" w:eastAsiaTheme="minorEastAsia" w:hAnsi="Arial" w:cs="Arial"/>
          <w:color w:val="000078"/>
          <w:sz w:val="22"/>
          <w:lang w:val="es-ES_tradnl"/>
        </w:rPr>
        <w:t>hasta un máximo de dos convocatorias extraordinarias de examen o de sistemas alternativos a la docencia, para poder superarla.» </w:t>
      </w:r>
    </w:p>
    <w:p w:rsidR="004154B1" w:rsidRPr="001048E6" w:rsidRDefault="004154B1" w:rsidP="004154B1">
      <w:pPr>
        <w:pStyle w:val="Pargrafdellista"/>
        <w:ind w:left="0"/>
        <w:jc w:val="both"/>
        <w:rPr>
          <w:rFonts w:ascii="Arial" w:eastAsiaTheme="minorEastAsia" w:hAnsi="Arial" w:cs="Arial"/>
          <w:i/>
          <w:color w:val="000078"/>
          <w:sz w:val="22"/>
          <w:lang w:val="es-ES_tradnl"/>
        </w:rPr>
      </w:pPr>
    </w:p>
    <w:p w:rsidR="004154B1" w:rsidRPr="001048E6" w:rsidRDefault="004154B1" w:rsidP="004154B1">
      <w:pPr>
        <w:pStyle w:val="Pargrafdellista"/>
        <w:numPr>
          <w:ilvl w:val="0"/>
          <w:numId w:val="1"/>
        </w:numPr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 xml:space="preserve">Modificar el apartado relativo a las actividades de representación del 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a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>nexo III, que queda redactado en los siguientes t</w:t>
      </w:r>
      <w:r w:rsidR="0086324E">
        <w:rPr>
          <w:rFonts w:ascii="Arial" w:eastAsiaTheme="minorEastAsia" w:hAnsi="Arial" w:cs="Arial"/>
          <w:color w:val="000078"/>
          <w:sz w:val="22"/>
          <w:lang w:val="es-ES_tradnl"/>
        </w:rPr>
        <w:t>érmino</w:t>
      </w: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 xml:space="preserve">s: </w:t>
      </w:r>
    </w:p>
    <w:p w:rsidR="00FB3776" w:rsidRPr="001048E6" w:rsidRDefault="00FB3776" w:rsidP="00B623A1">
      <w:pPr>
        <w:pStyle w:val="Pargrafdellista"/>
        <w:ind w:left="0"/>
        <w:jc w:val="both"/>
        <w:rPr>
          <w:rFonts w:ascii="Arial" w:eastAsiaTheme="majorEastAsia" w:hAnsi="Arial" w:cs="Arial"/>
          <w:i/>
          <w:sz w:val="20"/>
          <w:szCs w:val="20"/>
          <w:lang w:val="es-ES_tradnl"/>
        </w:rPr>
      </w:pPr>
    </w:p>
    <w:p w:rsidR="004154B1" w:rsidRPr="001048E6" w:rsidRDefault="004154B1" w:rsidP="004154B1">
      <w:pPr>
        <w:shd w:val="clear" w:color="auto" w:fill="FFFFFF"/>
        <w:jc w:val="both"/>
        <w:rPr>
          <w:color w:val="222222"/>
          <w:lang w:val="es-ES_tradnl"/>
        </w:rPr>
      </w:pPr>
      <w:r w:rsidRPr="001048E6">
        <w:rPr>
          <w:rFonts w:ascii="Arial" w:hAnsi="Arial" w:cs="Arial"/>
          <w:b/>
          <w:bCs/>
          <w:color w:val="222222"/>
          <w:sz w:val="19"/>
          <w:szCs w:val="19"/>
          <w:lang w:val="es-ES_tradnl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4065"/>
        <w:gridCol w:w="2213"/>
      </w:tblGrid>
      <w:tr w:rsidR="004154B1" w:rsidRPr="001048E6" w:rsidTr="004154B1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>
            <w:pPr>
              <w:jc w:val="center"/>
              <w:rPr>
                <w:rFonts w:ascii="Arial" w:eastAsiaTheme="minorEastAsia" w:hAnsi="Arial" w:cs="Arial"/>
                <w:b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b/>
                <w:color w:val="000078"/>
                <w:sz w:val="22"/>
                <w:lang w:val="es-ES_tradnl"/>
              </w:rPr>
              <w:t>Ámbitos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>
            <w:pPr>
              <w:jc w:val="center"/>
              <w:rPr>
                <w:rFonts w:ascii="Arial" w:eastAsiaTheme="minorEastAsia" w:hAnsi="Arial" w:cs="Arial"/>
                <w:b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b/>
                <w:color w:val="000078"/>
                <w:sz w:val="22"/>
                <w:lang w:val="es-ES_tradnl"/>
              </w:rPr>
              <w:t>Actividades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>
            <w:pPr>
              <w:jc w:val="center"/>
              <w:rPr>
                <w:rFonts w:ascii="Arial" w:eastAsiaTheme="minorEastAsia" w:hAnsi="Arial" w:cs="Arial"/>
                <w:b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b/>
                <w:color w:val="000078"/>
                <w:sz w:val="22"/>
                <w:lang w:val="es-ES_tradnl"/>
              </w:rPr>
              <w:t>Créditos reconocidos (EEES)</w:t>
            </w:r>
          </w:p>
        </w:tc>
      </w:tr>
      <w:tr w:rsidR="002E5F83" w:rsidRPr="001048E6" w:rsidTr="002E5F83">
        <w:trPr>
          <w:trHeight w:val="666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83" w:rsidRPr="001048E6" w:rsidRDefault="002E5F83">
            <w:pPr>
              <w:jc w:val="center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Actividad</w:t>
            </w:r>
            <w:r w:rsidR="0086324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es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 solidarias y de cooperación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83" w:rsidRPr="001048E6" w:rsidRDefault="002E5F83" w:rsidP="0086324E">
            <w:pPr>
              <w:jc w:val="both"/>
              <w:rPr>
                <w:rFonts w:ascii="Arial" w:eastAsiaTheme="minorEastAsia" w:hAnsi="Arial" w:cs="Arial"/>
                <w:b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Participar como voluntario en el marco de programas de cooperación y solidaridad organizados por la UOC, por otras </w:t>
            </w:r>
            <w:r w:rsidR="0086324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u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niversidades o entidades sin ánimo de lucro, con la validación previa de la UOC como actividad con reconocimiento de créditos</w:t>
            </w:r>
            <w:r w:rsidR="0086324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83" w:rsidRPr="001048E6" w:rsidRDefault="002E5F83" w:rsidP="002E5F83">
            <w:pPr>
              <w:jc w:val="both"/>
              <w:rPr>
                <w:rFonts w:ascii="Arial" w:eastAsiaTheme="minorEastAsia" w:hAnsi="Arial" w:cs="Arial"/>
                <w:b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1 crédito ECTS por cada 25 horas de voluntariado, hasta un máximo de 3 </w:t>
            </w:r>
            <w:proofErr w:type="spellStart"/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cr</w:t>
            </w:r>
            <w:proofErr w:type="spellEnd"/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. ECTS por actividad</w:t>
            </w:r>
          </w:p>
        </w:tc>
      </w:tr>
      <w:tr w:rsidR="004154B1" w:rsidRPr="001048E6" w:rsidTr="004154B1"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>
            <w:pPr>
              <w:jc w:val="center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lastRenderedPageBreak/>
              <w:t> </w:t>
            </w:r>
          </w:p>
          <w:p w:rsidR="004154B1" w:rsidRPr="001048E6" w:rsidRDefault="004154B1">
            <w:pPr>
              <w:jc w:val="center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 </w:t>
            </w:r>
          </w:p>
          <w:p w:rsidR="004154B1" w:rsidRPr="001048E6" w:rsidRDefault="004154B1">
            <w:pPr>
              <w:jc w:val="center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Actividades de representación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 w:rsidP="0009262E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Ser miembro</w:t>
            </w:r>
            <w:r w:rsidR="0009262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 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del Consejo de Estudiantes o de una </w:t>
            </w:r>
            <w:r w:rsidR="0086324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c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omisión de </w:t>
            </w:r>
            <w:r w:rsidR="0086324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e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studios</w:t>
            </w:r>
            <w:r w:rsidR="0009262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 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durante un (1) mandato.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1,5 créditos ECTS por año académico</w:t>
            </w:r>
          </w:p>
        </w:tc>
      </w:tr>
      <w:tr w:rsidR="004154B1" w:rsidRPr="001048E6" w:rsidTr="004154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54B1" w:rsidRPr="001048E6" w:rsidRDefault="004154B1">
            <w:pPr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  <w:p w:rsidR="004154B1" w:rsidRPr="001048E6" w:rsidRDefault="004154B1">
            <w:pPr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 w:rsidP="0009262E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Ser miembro</w:t>
            </w:r>
            <w:r w:rsidR="0009262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 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del Consejo de Universidad</w:t>
            </w:r>
            <w:r w:rsidR="0009262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 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durante un (1) mandato.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2 créditos ECTS por año académico</w:t>
            </w:r>
          </w:p>
        </w:tc>
      </w:tr>
      <w:tr w:rsidR="004154B1" w:rsidRPr="001048E6" w:rsidTr="002E5F83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54B1" w:rsidRPr="001048E6" w:rsidRDefault="004154B1">
            <w:pPr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  <w:p w:rsidR="004154B1" w:rsidRPr="001048E6" w:rsidRDefault="004154B1">
            <w:pPr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 w:rsidP="0086324E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Participa</w:t>
            </w:r>
            <w:r w:rsidR="0086324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r</w:t>
            </w: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 xml:space="preserve"> en órganos y comisiones externas en representación de la UOC (anual)</w:t>
            </w:r>
            <w:r w:rsidR="0086324E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4B1" w:rsidRPr="001048E6" w:rsidRDefault="004154B1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  <w:r w:rsidRPr="001048E6"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  <w:t>1 crédito ECTS por año académico</w:t>
            </w:r>
          </w:p>
        </w:tc>
      </w:tr>
      <w:tr w:rsidR="002E5F83" w:rsidRPr="001048E6" w:rsidTr="00415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F83" w:rsidRPr="001048E6" w:rsidRDefault="002E5F83">
            <w:pPr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  <w:p w:rsidR="002E5F83" w:rsidRPr="001048E6" w:rsidRDefault="002E5F83">
            <w:pPr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83" w:rsidRPr="001048E6" w:rsidRDefault="002E5F83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  <w:p w:rsidR="002E5F83" w:rsidRPr="001048E6" w:rsidRDefault="002E5F83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83" w:rsidRPr="001048E6" w:rsidRDefault="002E5F83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  <w:p w:rsidR="002E5F83" w:rsidRPr="001048E6" w:rsidRDefault="002E5F83">
            <w:pPr>
              <w:jc w:val="both"/>
              <w:rPr>
                <w:rFonts w:ascii="Arial" w:eastAsiaTheme="minorEastAsia" w:hAnsi="Arial" w:cs="Arial"/>
                <w:color w:val="000078"/>
                <w:sz w:val="22"/>
                <w:lang w:val="es-ES_tradnl"/>
              </w:rPr>
            </w:pPr>
          </w:p>
        </w:tc>
      </w:tr>
    </w:tbl>
    <w:p w:rsidR="00FB3776" w:rsidRPr="001048E6" w:rsidRDefault="00FB3776" w:rsidP="00B623A1">
      <w:pPr>
        <w:pStyle w:val="Pargrafdellista"/>
        <w:ind w:left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227E3" w:rsidRPr="001048E6" w:rsidRDefault="004154B1" w:rsidP="001255DB">
      <w:pPr>
        <w:pStyle w:val="Pargrafdellista"/>
        <w:numPr>
          <w:ilvl w:val="0"/>
          <w:numId w:val="1"/>
        </w:numPr>
        <w:jc w:val="both"/>
        <w:rPr>
          <w:rFonts w:ascii="Arial" w:eastAsiaTheme="minorEastAsia" w:hAnsi="Arial" w:cs="Arial"/>
          <w:color w:val="000078"/>
          <w:sz w:val="22"/>
          <w:lang w:val="es-ES_tradnl"/>
        </w:rPr>
      </w:pPr>
      <w:r w:rsidRPr="001048E6">
        <w:rPr>
          <w:rFonts w:ascii="Arial" w:eastAsiaTheme="minorEastAsia" w:hAnsi="Arial" w:cs="Arial"/>
          <w:color w:val="000078"/>
          <w:sz w:val="22"/>
          <w:lang w:val="es-ES_tradnl"/>
        </w:rPr>
        <w:t xml:space="preserve">Las presentes modificaciones entrarán en vigor al día siguiente de la fecha de aprobación de este acuerdo por parte del Consejo de Dirección. </w:t>
      </w:r>
    </w:p>
    <w:sectPr w:rsidR="005227E3" w:rsidRPr="001048E6" w:rsidSect="006D61BA">
      <w:headerReference w:type="default" r:id="rId8"/>
      <w:footerReference w:type="default" r:id="rId9"/>
      <w:pgSz w:w="11906" w:h="16838"/>
      <w:pgMar w:top="1810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9B" w:rsidRDefault="0009129B">
      <w:r>
        <w:separator/>
      </w:r>
    </w:p>
    <w:p w:rsidR="0009129B" w:rsidRDefault="0009129B">
      <w:r>
        <w:separator/>
      </w:r>
    </w:p>
  </w:endnote>
  <w:endnote w:type="continuationSeparator" w:id="0">
    <w:p w:rsidR="0009129B" w:rsidRDefault="0009129B">
      <w:r>
        <w:continuationSeparator/>
      </w:r>
    </w:p>
    <w:p w:rsidR="0009129B" w:rsidRDefault="0009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B" w:rsidRDefault="0071334B">
    <w:pPr>
      <w:pStyle w:val="Peu"/>
      <w:jc w:val="right"/>
      <w:rPr>
        <w:rFonts w:ascii="Arial" w:hAnsi="Arial" w:cs="Arial"/>
        <w:sz w:val="18"/>
        <w:szCs w:val="18"/>
      </w:rPr>
    </w:pPr>
  </w:p>
  <w:p w:rsidR="0071334B" w:rsidRDefault="0071334B">
    <w:pPr>
      <w:pStyle w:val="Peu"/>
      <w:jc w:val="right"/>
      <w:rPr>
        <w:rFonts w:ascii="Arial" w:hAnsi="Arial" w:cs="Arial"/>
        <w:sz w:val="18"/>
        <w:szCs w:val="18"/>
      </w:rPr>
    </w:pPr>
  </w:p>
  <w:p w:rsidR="0071334B" w:rsidRPr="00123BAF" w:rsidRDefault="0071334B">
    <w:pPr>
      <w:pStyle w:val="Peu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Página</w:t>
    </w:r>
    <w:r w:rsidRPr="00123BAF">
      <w:rPr>
        <w:rFonts w:ascii="Arial" w:hAnsi="Arial" w:cs="Arial"/>
        <w:b/>
        <w:sz w:val="18"/>
        <w:szCs w:val="18"/>
      </w:rPr>
      <w:fldChar w:fldCharType="begin"/>
    </w:r>
    <w:r w:rsidRPr="00123BAF">
      <w:rPr>
        <w:rFonts w:ascii="Arial" w:hAnsi="Arial" w:cs="Arial"/>
        <w:b/>
        <w:sz w:val="18"/>
        <w:szCs w:val="18"/>
      </w:rPr>
      <w:instrText>PAGE</w:instrText>
    </w:r>
    <w:r w:rsidRPr="00123BAF">
      <w:rPr>
        <w:rFonts w:ascii="Arial" w:hAnsi="Arial" w:cs="Arial"/>
        <w:b/>
        <w:sz w:val="18"/>
        <w:szCs w:val="18"/>
      </w:rPr>
      <w:fldChar w:fldCharType="separate"/>
    </w:r>
    <w:r w:rsidR="00391EE2">
      <w:rPr>
        <w:rFonts w:ascii="Arial" w:hAnsi="Arial" w:cs="Arial"/>
        <w:b/>
        <w:noProof/>
        <w:sz w:val="18"/>
        <w:szCs w:val="18"/>
      </w:rPr>
      <w:t>3</w:t>
    </w:r>
    <w:r w:rsidRPr="00123BAF">
      <w:rPr>
        <w:rFonts w:ascii="Arial" w:hAnsi="Arial" w:cs="Arial"/>
        <w:b/>
        <w:sz w:val="18"/>
        <w:szCs w:val="18"/>
      </w:rPr>
      <w:fldChar w:fldCharType="end"/>
    </w:r>
    <w:r w:rsidRPr="00123BAF">
      <w:rPr>
        <w:rFonts w:ascii="Arial" w:hAnsi="Arial" w:cs="Arial"/>
        <w:sz w:val="18"/>
        <w:szCs w:val="18"/>
      </w:rPr>
      <w:t xml:space="preserve"> de </w:t>
    </w:r>
    <w:r w:rsidRPr="00123BAF">
      <w:rPr>
        <w:rFonts w:ascii="Arial" w:hAnsi="Arial" w:cs="Arial"/>
        <w:b/>
        <w:sz w:val="18"/>
        <w:szCs w:val="18"/>
      </w:rPr>
      <w:fldChar w:fldCharType="begin"/>
    </w:r>
    <w:r w:rsidRPr="00123BAF">
      <w:rPr>
        <w:rFonts w:ascii="Arial" w:hAnsi="Arial" w:cs="Arial"/>
        <w:b/>
        <w:sz w:val="18"/>
        <w:szCs w:val="18"/>
      </w:rPr>
      <w:instrText>NUMPAGES</w:instrText>
    </w:r>
    <w:r w:rsidRPr="00123BAF">
      <w:rPr>
        <w:rFonts w:ascii="Arial" w:hAnsi="Arial" w:cs="Arial"/>
        <w:b/>
        <w:sz w:val="18"/>
        <w:szCs w:val="18"/>
      </w:rPr>
      <w:fldChar w:fldCharType="separate"/>
    </w:r>
    <w:r w:rsidR="00391EE2">
      <w:rPr>
        <w:rFonts w:ascii="Arial" w:hAnsi="Arial" w:cs="Arial"/>
        <w:b/>
        <w:noProof/>
        <w:sz w:val="18"/>
        <w:szCs w:val="18"/>
      </w:rPr>
      <w:t>3</w:t>
    </w:r>
    <w:r w:rsidRPr="00123BAF">
      <w:rPr>
        <w:rFonts w:ascii="Arial" w:hAnsi="Arial" w:cs="Arial"/>
        <w:b/>
        <w:sz w:val="18"/>
        <w:szCs w:val="18"/>
      </w:rPr>
      <w:fldChar w:fldCharType="end"/>
    </w:r>
  </w:p>
  <w:p w:rsidR="0071334B" w:rsidRDefault="0071334B">
    <w:pPr>
      <w:pStyle w:val="Peu"/>
    </w:pPr>
  </w:p>
  <w:p w:rsidR="0071334B" w:rsidRDefault="0071334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9B" w:rsidRDefault="0009129B">
      <w:r>
        <w:separator/>
      </w:r>
    </w:p>
    <w:p w:rsidR="0009129B" w:rsidRDefault="0009129B">
      <w:r>
        <w:separator/>
      </w:r>
    </w:p>
  </w:footnote>
  <w:footnote w:type="continuationSeparator" w:id="0">
    <w:p w:rsidR="0009129B" w:rsidRDefault="0009129B">
      <w:r>
        <w:continuationSeparator/>
      </w:r>
    </w:p>
    <w:p w:rsidR="0009129B" w:rsidRDefault="0009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B" w:rsidRPr="00123BAF" w:rsidRDefault="0071334B" w:rsidP="00123BAF">
    <w:pPr>
      <w:pStyle w:val="Capalera"/>
    </w:pPr>
    <w:r w:rsidRPr="000B3162">
      <w:rPr>
        <w:noProof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21619" cy="425669"/>
          <wp:effectExtent l="19050" t="0" r="0" b="0"/>
          <wp:wrapNone/>
          <wp:docPr id="5" name="5 Imagen" descr="uoc_LOGO_masterbrand_DOC_tzd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c_LOGO_masterbrand_DOC_tzdo.tif"/>
                  <pic:cNvPicPr/>
                </pic:nvPicPr>
                <pic:blipFill>
                  <a:blip r:embed="rId1"/>
                  <a:srcRect r="9877"/>
                  <a:stretch>
                    <a:fillRect/>
                  </a:stretch>
                </pic:blipFill>
                <pic:spPr>
                  <a:xfrm>
                    <a:off x="0" y="0"/>
                    <a:ext cx="6121619" cy="425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34B" w:rsidRPr="00123BAF" w:rsidRDefault="0071334B" w:rsidP="00123BA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273"/>
    <w:multiLevelType w:val="hybridMultilevel"/>
    <w:tmpl w:val="4A32CD3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DF4FF7"/>
    <w:multiLevelType w:val="hybridMultilevel"/>
    <w:tmpl w:val="17C2C526"/>
    <w:lvl w:ilvl="0" w:tplc="D9F40B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6C2C4D"/>
    <w:multiLevelType w:val="hybridMultilevel"/>
    <w:tmpl w:val="7BB0A004"/>
    <w:lvl w:ilvl="0" w:tplc="2B8C01C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78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5D"/>
    <w:rsid w:val="00001793"/>
    <w:rsid w:val="00015ED8"/>
    <w:rsid w:val="000203E8"/>
    <w:rsid w:val="00021494"/>
    <w:rsid w:val="00040144"/>
    <w:rsid w:val="000437B8"/>
    <w:rsid w:val="00046839"/>
    <w:rsid w:val="000538B2"/>
    <w:rsid w:val="00057DB8"/>
    <w:rsid w:val="00064561"/>
    <w:rsid w:val="0006717F"/>
    <w:rsid w:val="00070C67"/>
    <w:rsid w:val="00077A5C"/>
    <w:rsid w:val="00081B70"/>
    <w:rsid w:val="00081CED"/>
    <w:rsid w:val="0008396C"/>
    <w:rsid w:val="00086565"/>
    <w:rsid w:val="0009129B"/>
    <w:rsid w:val="000918E8"/>
    <w:rsid w:val="00091CBF"/>
    <w:rsid w:val="0009262E"/>
    <w:rsid w:val="00092722"/>
    <w:rsid w:val="000939A0"/>
    <w:rsid w:val="000953CE"/>
    <w:rsid w:val="000A2A67"/>
    <w:rsid w:val="000A3A44"/>
    <w:rsid w:val="000A4FF3"/>
    <w:rsid w:val="000B03A9"/>
    <w:rsid w:val="000B2814"/>
    <w:rsid w:val="000C5F8D"/>
    <w:rsid w:val="000D58D1"/>
    <w:rsid w:val="000F09A3"/>
    <w:rsid w:val="000F3623"/>
    <w:rsid w:val="000F3BAD"/>
    <w:rsid w:val="000F617A"/>
    <w:rsid w:val="001048E6"/>
    <w:rsid w:val="001054CA"/>
    <w:rsid w:val="00112502"/>
    <w:rsid w:val="00117B1E"/>
    <w:rsid w:val="0012072C"/>
    <w:rsid w:val="00123BAF"/>
    <w:rsid w:val="001251A5"/>
    <w:rsid w:val="0012687D"/>
    <w:rsid w:val="00126AC0"/>
    <w:rsid w:val="00133F14"/>
    <w:rsid w:val="00143EAD"/>
    <w:rsid w:val="001608C2"/>
    <w:rsid w:val="00161E61"/>
    <w:rsid w:val="00161EA2"/>
    <w:rsid w:val="00180C2D"/>
    <w:rsid w:val="00187980"/>
    <w:rsid w:val="00190053"/>
    <w:rsid w:val="00191930"/>
    <w:rsid w:val="001A06F8"/>
    <w:rsid w:val="001A0CC1"/>
    <w:rsid w:val="001A3C93"/>
    <w:rsid w:val="001C278C"/>
    <w:rsid w:val="001C4B13"/>
    <w:rsid w:val="001C6457"/>
    <w:rsid w:val="001C6620"/>
    <w:rsid w:val="001C67B8"/>
    <w:rsid w:val="001D0F10"/>
    <w:rsid w:val="001D29E7"/>
    <w:rsid w:val="001D3211"/>
    <w:rsid w:val="001D6334"/>
    <w:rsid w:val="001E004B"/>
    <w:rsid w:val="001E00D3"/>
    <w:rsid w:val="001F0CFC"/>
    <w:rsid w:val="001F4744"/>
    <w:rsid w:val="001F72B8"/>
    <w:rsid w:val="001F7825"/>
    <w:rsid w:val="00205B4C"/>
    <w:rsid w:val="002102B6"/>
    <w:rsid w:val="002241BE"/>
    <w:rsid w:val="00225ECE"/>
    <w:rsid w:val="002377B9"/>
    <w:rsid w:val="00241C12"/>
    <w:rsid w:val="00263634"/>
    <w:rsid w:val="0027617A"/>
    <w:rsid w:val="00277455"/>
    <w:rsid w:val="002A1CDF"/>
    <w:rsid w:val="002B56A5"/>
    <w:rsid w:val="002B761E"/>
    <w:rsid w:val="002C2D19"/>
    <w:rsid w:val="002C591F"/>
    <w:rsid w:val="002C60DB"/>
    <w:rsid w:val="002D0F6F"/>
    <w:rsid w:val="002D373A"/>
    <w:rsid w:val="002D5B60"/>
    <w:rsid w:val="002D64BB"/>
    <w:rsid w:val="002D6BF2"/>
    <w:rsid w:val="002E5F83"/>
    <w:rsid w:val="002F6C7D"/>
    <w:rsid w:val="003048A1"/>
    <w:rsid w:val="003050EC"/>
    <w:rsid w:val="00310627"/>
    <w:rsid w:val="0031198F"/>
    <w:rsid w:val="003131EB"/>
    <w:rsid w:val="00313E6B"/>
    <w:rsid w:val="00320F0D"/>
    <w:rsid w:val="00332310"/>
    <w:rsid w:val="003335F5"/>
    <w:rsid w:val="003354A5"/>
    <w:rsid w:val="00337E53"/>
    <w:rsid w:val="00341ACA"/>
    <w:rsid w:val="00343AF5"/>
    <w:rsid w:val="00345B49"/>
    <w:rsid w:val="00347A93"/>
    <w:rsid w:val="00357B71"/>
    <w:rsid w:val="00357B9E"/>
    <w:rsid w:val="00357F3F"/>
    <w:rsid w:val="00361FFF"/>
    <w:rsid w:val="00365400"/>
    <w:rsid w:val="0037265D"/>
    <w:rsid w:val="003822AC"/>
    <w:rsid w:val="003866F8"/>
    <w:rsid w:val="00386BEB"/>
    <w:rsid w:val="0039034B"/>
    <w:rsid w:val="0039063D"/>
    <w:rsid w:val="00390BEA"/>
    <w:rsid w:val="003919FF"/>
    <w:rsid w:val="00391EE2"/>
    <w:rsid w:val="00394691"/>
    <w:rsid w:val="00395AFF"/>
    <w:rsid w:val="00396843"/>
    <w:rsid w:val="00397BAE"/>
    <w:rsid w:val="003A1EB9"/>
    <w:rsid w:val="003A68EA"/>
    <w:rsid w:val="003A6AAB"/>
    <w:rsid w:val="003A7404"/>
    <w:rsid w:val="003B76B2"/>
    <w:rsid w:val="003C7F48"/>
    <w:rsid w:val="00400CD8"/>
    <w:rsid w:val="00403181"/>
    <w:rsid w:val="004154B1"/>
    <w:rsid w:val="0041700C"/>
    <w:rsid w:val="0042425D"/>
    <w:rsid w:val="004308BC"/>
    <w:rsid w:val="00432DBA"/>
    <w:rsid w:val="00435284"/>
    <w:rsid w:val="0043562B"/>
    <w:rsid w:val="00436D35"/>
    <w:rsid w:val="00437937"/>
    <w:rsid w:val="004578AF"/>
    <w:rsid w:val="004722E0"/>
    <w:rsid w:val="00474594"/>
    <w:rsid w:val="00482EB6"/>
    <w:rsid w:val="00486BAB"/>
    <w:rsid w:val="004A0BF3"/>
    <w:rsid w:val="004A27CB"/>
    <w:rsid w:val="004A2E8D"/>
    <w:rsid w:val="004B2C75"/>
    <w:rsid w:val="004C3BA8"/>
    <w:rsid w:val="004D505A"/>
    <w:rsid w:val="004D7029"/>
    <w:rsid w:val="004E02B4"/>
    <w:rsid w:val="004E7B8F"/>
    <w:rsid w:val="004F08D3"/>
    <w:rsid w:val="004F1192"/>
    <w:rsid w:val="004F70F6"/>
    <w:rsid w:val="00505180"/>
    <w:rsid w:val="00520DB6"/>
    <w:rsid w:val="005227E3"/>
    <w:rsid w:val="005310D9"/>
    <w:rsid w:val="00531B26"/>
    <w:rsid w:val="00536C1C"/>
    <w:rsid w:val="00537E9A"/>
    <w:rsid w:val="005440AB"/>
    <w:rsid w:val="005454AF"/>
    <w:rsid w:val="0055249B"/>
    <w:rsid w:val="00552BED"/>
    <w:rsid w:val="005566E7"/>
    <w:rsid w:val="0056553F"/>
    <w:rsid w:val="005678CA"/>
    <w:rsid w:val="005741A9"/>
    <w:rsid w:val="0058139F"/>
    <w:rsid w:val="00584DD2"/>
    <w:rsid w:val="0059443A"/>
    <w:rsid w:val="0059632B"/>
    <w:rsid w:val="005A6DAC"/>
    <w:rsid w:val="005B0C0E"/>
    <w:rsid w:val="005C5742"/>
    <w:rsid w:val="005D2261"/>
    <w:rsid w:val="005F3A4D"/>
    <w:rsid w:val="00610EAA"/>
    <w:rsid w:val="006132C4"/>
    <w:rsid w:val="0061375C"/>
    <w:rsid w:val="00614973"/>
    <w:rsid w:val="006152AA"/>
    <w:rsid w:val="00624066"/>
    <w:rsid w:val="0063203F"/>
    <w:rsid w:val="00633BCA"/>
    <w:rsid w:val="0063531E"/>
    <w:rsid w:val="006369F0"/>
    <w:rsid w:val="006371E6"/>
    <w:rsid w:val="006407E3"/>
    <w:rsid w:val="00641D65"/>
    <w:rsid w:val="00644EC2"/>
    <w:rsid w:val="00646D15"/>
    <w:rsid w:val="00646D6E"/>
    <w:rsid w:val="00655F0C"/>
    <w:rsid w:val="006671E3"/>
    <w:rsid w:val="00667EB4"/>
    <w:rsid w:val="00677527"/>
    <w:rsid w:val="0068076A"/>
    <w:rsid w:val="00681D2A"/>
    <w:rsid w:val="0068585C"/>
    <w:rsid w:val="00694EEF"/>
    <w:rsid w:val="00696DA5"/>
    <w:rsid w:val="006A4599"/>
    <w:rsid w:val="006B00D2"/>
    <w:rsid w:val="006D0C56"/>
    <w:rsid w:val="006D3BFD"/>
    <w:rsid w:val="006D5DE1"/>
    <w:rsid w:val="006D61BA"/>
    <w:rsid w:val="006D75DE"/>
    <w:rsid w:val="006D7983"/>
    <w:rsid w:val="006E10A9"/>
    <w:rsid w:val="006E44CE"/>
    <w:rsid w:val="007018E2"/>
    <w:rsid w:val="00702FF6"/>
    <w:rsid w:val="007119EB"/>
    <w:rsid w:val="0071334B"/>
    <w:rsid w:val="007228BB"/>
    <w:rsid w:val="00730466"/>
    <w:rsid w:val="00730A34"/>
    <w:rsid w:val="00732515"/>
    <w:rsid w:val="00732CA5"/>
    <w:rsid w:val="007423B4"/>
    <w:rsid w:val="007451D3"/>
    <w:rsid w:val="00746C87"/>
    <w:rsid w:val="00750A98"/>
    <w:rsid w:val="00752AD4"/>
    <w:rsid w:val="00755883"/>
    <w:rsid w:val="007566CD"/>
    <w:rsid w:val="0075696E"/>
    <w:rsid w:val="00756A3A"/>
    <w:rsid w:val="00762E49"/>
    <w:rsid w:val="00772E02"/>
    <w:rsid w:val="00782691"/>
    <w:rsid w:val="007927C4"/>
    <w:rsid w:val="007954A7"/>
    <w:rsid w:val="007A39B4"/>
    <w:rsid w:val="007A472E"/>
    <w:rsid w:val="007A65AA"/>
    <w:rsid w:val="007A6D34"/>
    <w:rsid w:val="007A76EC"/>
    <w:rsid w:val="007B1703"/>
    <w:rsid w:val="007B2606"/>
    <w:rsid w:val="007B5A0D"/>
    <w:rsid w:val="007B6BC4"/>
    <w:rsid w:val="007C2E38"/>
    <w:rsid w:val="007C4326"/>
    <w:rsid w:val="007C531C"/>
    <w:rsid w:val="007D34D1"/>
    <w:rsid w:val="007F271E"/>
    <w:rsid w:val="007F4D8D"/>
    <w:rsid w:val="007F6060"/>
    <w:rsid w:val="00802587"/>
    <w:rsid w:val="00802DA7"/>
    <w:rsid w:val="0081274D"/>
    <w:rsid w:val="00813766"/>
    <w:rsid w:val="00814047"/>
    <w:rsid w:val="00822CE4"/>
    <w:rsid w:val="008237D4"/>
    <w:rsid w:val="008248CD"/>
    <w:rsid w:val="00834952"/>
    <w:rsid w:val="00842274"/>
    <w:rsid w:val="00845824"/>
    <w:rsid w:val="00845F89"/>
    <w:rsid w:val="008569F7"/>
    <w:rsid w:val="0086324E"/>
    <w:rsid w:val="00871B46"/>
    <w:rsid w:val="00874028"/>
    <w:rsid w:val="008802E7"/>
    <w:rsid w:val="00880427"/>
    <w:rsid w:val="00890DAA"/>
    <w:rsid w:val="008A3BB8"/>
    <w:rsid w:val="008B0CD7"/>
    <w:rsid w:val="008B19EF"/>
    <w:rsid w:val="008B2DA8"/>
    <w:rsid w:val="008C3138"/>
    <w:rsid w:val="008C4DA8"/>
    <w:rsid w:val="008C6310"/>
    <w:rsid w:val="008D1D5F"/>
    <w:rsid w:val="008E3860"/>
    <w:rsid w:val="008E6662"/>
    <w:rsid w:val="008F44FA"/>
    <w:rsid w:val="008F5E2B"/>
    <w:rsid w:val="008F62F9"/>
    <w:rsid w:val="0090368F"/>
    <w:rsid w:val="00905437"/>
    <w:rsid w:val="00907900"/>
    <w:rsid w:val="0091118B"/>
    <w:rsid w:val="00915914"/>
    <w:rsid w:val="009250BF"/>
    <w:rsid w:val="00925A33"/>
    <w:rsid w:val="009366BF"/>
    <w:rsid w:val="009422A8"/>
    <w:rsid w:val="00944DD7"/>
    <w:rsid w:val="00954C52"/>
    <w:rsid w:val="009643ED"/>
    <w:rsid w:val="00966388"/>
    <w:rsid w:val="00971F51"/>
    <w:rsid w:val="009764F7"/>
    <w:rsid w:val="00976F68"/>
    <w:rsid w:val="00983E51"/>
    <w:rsid w:val="00985358"/>
    <w:rsid w:val="009859DA"/>
    <w:rsid w:val="00985F9D"/>
    <w:rsid w:val="009950CD"/>
    <w:rsid w:val="009A1A96"/>
    <w:rsid w:val="009A24B0"/>
    <w:rsid w:val="009B2F00"/>
    <w:rsid w:val="009B4E98"/>
    <w:rsid w:val="009C5E18"/>
    <w:rsid w:val="009D2B8F"/>
    <w:rsid w:val="009D3108"/>
    <w:rsid w:val="009D323C"/>
    <w:rsid w:val="009E4F34"/>
    <w:rsid w:val="009E6339"/>
    <w:rsid w:val="009E79EF"/>
    <w:rsid w:val="009E7D08"/>
    <w:rsid w:val="00A10E10"/>
    <w:rsid w:val="00A1564C"/>
    <w:rsid w:val="00A27DB4"/>
    <w:rsid w:val="00A31448"/>
    <w:rsid w:val="00A32967"/>
    <w:rsid w:val="00A331DF"/>
    <w:rsid w:val="00A375D8"/>
    <w:rsid w:val="00A424BB"/>
    <w:rsid w:val="00A56588"/>
    <w:rsid w:val="00A568CB"/>
    <w:rsid w:val="00A63B1F"/>
    <w:rsid w:val="00A67B75"/>
    <w:rsid w:val="00A7097C"/>
    <w:rsid w:val="00A70C3C"/>
    <w:rsid w:val="00A711F5"/>
    <w:rsid w:val="00A7236D"/>
    <w:rsid w:val="00A73919"/>
    <w:rsid w:val="00A73AC4"/>
    <w:rsid w:val="00A742FF"/>
    <w:rsid w:val="00A82DFA"/>
    <w:rsid w:val="00A91489"/>
    <w:rsid w:val="00AB01C3"/>
    <w:rsid w:val="00AB2855"/>
    <w:rsid w:val="00AC2A4C"/>
    <w:rsid w:val="00AC7B7D"/>
    <w:rsid w:val="00AD0DA0"/>
    <w:rsid w:val="00AE389F"/>
    <w:rsid w:val="00AE6C45"/>
    <w:rsid w:val="00AF38AA"/>
    <w:rsid w:val="00B0640B"/>
    <w:rsid w:val="00B10BB9"/>
    <w:rsid w:val="00B13D94"/>
    <w:rsid w:val="00B20103"/>
    <w:rsid w:val="00B205D7"/>
    <w:rsid w:val="00B22D17"/>
    <w:rsid w:val="00B3372D"/>
    <w:rsid w:val="00B373BC"/>
    <w:rsid w:val="00B37811"/>
    <w:rsid w:val="00B53F9C"/>
    <w:rsid w:val="00B623A1"/>
    <w:rsid w:val="00B70A7F"/>
    <w:rsid w:val="00B85114"/>
    <w:rsid w:val="00B91847"/>
    <w:rsid w:val="00BA0AE6"/>
    <w:rsid w:val="00BA3FF0"/>
    <w:rsid w:val="00BB2D75"/>
    <w:rsid w:val="00BC23CB"/>
    <w:rsid w:val="00BD640E"/>
    <w:rsid w:val="00BE0FDB"/>
    <w:rsid w:val="00BE289D"/>
    <w:rsid w:val="00C0371B"/>
    <w:rsid w:val="00C03E94"/>
    <w:rsid w:val="00C040E5"/>
    <w:rsid w:val="00C150A4"/>
    <w:rsid w:val="00C15692"/>
    <w:rsid w:val="00C1644D"/>
    <w:rsid w:val="00C17FA7"/>
    <w:rsid w:val="00C20BE3"/>
    <w:rsid w:val="00C26665"/>
    <w:rsid w:val="00C30F7D"/>
    <w:rsid w:val="00C409DF"/>
    <w:rsid w:val="00C62E3F"/>
    <w:rsid w:val="00C63C45"/>
    <w:rsid w:val="00C64CB2"/>
    <w:rsid w:val="00C65569"/>
    <w:rsid w:val="00C770CB"/>
    <w:rsid w:val="00C82262"/>
    <w:rsid w:val="00C834F3"/>
    <w:rsid w:val="00CA32EE"/>
    <w:rsid w:val="00CA3C74"/>
    <w:rsid w:val="00CA5B21"/>
    <w:rsid w:val="00CB114F"/>
    <w:rsid w:val="00CC5550"/>
    <w:rsid w:val="00CC635E"/>
    <w:rsid w:val="00CC7977"/>
    <w:rsid w:val="00CD252D"/>
    <w:rsid w:val="00CD49E0"/>
    <w:rsid w:val="00CE0008"/>
    <w:rsid w:val="00CF5433"/>
    <w:rsid w:val="00CF5C8D"/>
    <w:rsid w:val="00D02FC6"/>
    <w:rsid w:val="00D07F72"/>
    <w:rsid w:val="00D167F5"/>
    <w:rsid w:val="00D174CF"/>
    <w:rsid w:val="00D314B0"/>
    <w:rsid w:val="00D366E0"/>
    <w:rsid w:val="00D366FD"/>
    <w:rsid w:val="00D42525"/>
    <w:rsid w:val="00D431C5"/>
    <w:rsid w:val="00D43D86"/>
    <w:rsid w:val="00D45F9B"/>
    <w:rsid w:val="00D468F2"/>
    <w:rsid w:val="00D50EE0"/>
    <w:rsid w:val="00D516DE"/>
    <w:rsid w:val="00D536A8"/>
    <w:rsid w:val="00D66CA2"/>
    <w:rsid w:val="00D67932"/>
    <w:rsid w:val="00D760D9"/>
    <w:rsid w:val="00D767CE"/>
    <w:rsid w:val="00D77FE9"/>
    <w:rsid w:val="00D81C8E"/>
    <w:rsid w:val="00D83D66"/>
    <w:rsid w:val="00D91371"/>
    <w:rsid w:val="00D95BD8"/>
    <w:rsid w:val="00DA3AA5"/>
    <w:rsid w:val="00DA4268"/>
    <w:rsid w:val="00DA77C7"/>
    <w:rsid w:val="00DB4F0E"/>
    <w:rsid w:val="00DC30C4"/>
    <w:rsid w:val="00DC5E14"/>
    <w:rsid w:val="00DD6AAB"/>
    <w:rsid w:val="00DE246B"/>
    <w:rsid w:val="00DE3A09"/>
    <w:rsid w:val="00DE538E"/>
    <w:rsid w:val="00DE7295"/>
    <w:rsid w:val="00DE799B"/>
    <w:rsid w:val="00DF1FBD"/>
    <w:rsid w:val="00DF30E5"/>
    <w:rsid w:val="00DF6948"/>
    <w:rsid w:val="00E01763"/>
    <w:rsid w:val="00E024DE"/>
    <w:rsid w:val="00E1075B"/>
    <w:rsid w:val="00E17029"/>
    <w:rsid w:val="00E17F5E"/>
    <w:rsid w:val="00E2416F"/>
    <w:rsid w:val="00E24FD1"/>
    <w:rsid w:val="00E25BF5"/>
    <w:rsid w:val="00E32608"/>
    <w:rsid w:val="00E43824"/>
    <w:rsid w:val="00E46E1A"/>
    <w:rsid w:val="00E478DA"/>
    <w:rsid w:val="00E55522"/>
    <w:rsid w:val="00E61399"/>
    <w:rsid w:val="00E673F9"/>
    <w:rsid w:val="00E764F6"/>
    <w:rsid w:val="00E94E6C"/>
    <w:rsid w:val="00EA05D0"/>
    <w:rsid w:val="00EA15F6"/>
    <w:rsid w:val="00EA2517"/>
    <w:rsid w:val="00EA62F3"/>
    <w:rsid w:val="00EB5A97"/>
    <w:rsid w:val="00EC4836"/>
    <w:rsid w:val="00EC643D"/>
    <w:rsid w:val="00EC66CA"/>
    <w:rsid w:val="00ED1524"/>
    <w:rsid w:val="00ED1C09"/>
    <w:rsid w:val="00ED22CE"/>
    <w:rsid w:val="00ED27AB"/>
    <w:rsid w:val="00ED52D2"/>
    <w:rsid w:val="00EF0424"/>
    <w:rsid w:val="00EF2D34"/>
    <w:rsid w:val="00EF6379"/>
    <w:rsid w:val="00F00DC5"/>
    <w:rsid w:val="00F03ECB"/>
    <w:rsid w:val="00F04399"/>
    <w:rsid w:val="00F10809"/>
    <w:rsid w:val="00F123F5"/>
    <w:rsid w:val="00F21D58"/>
    <w:rsid w:val="00F3327D"/>
    <w:rsid w:val="00F364C1"/>
    <w:rsid w:val="00F42042"/>
    <w:rsid w:val="00F43D73"/>
    <w:rsid w:val="00F44286"/>
    <w:rsid w:val="00F47C1F"/>
    <w:rsid w:val="00F551E9"/>
    <w:rsid w:val="00F60CF1"/>
    <w:rsid w:val="00F71279"/>
    <w:rsid w:val="00F76376"/>
    <w:rsid w:val="00F765E6"/>
    <w:rsid w:val="00F77D40"/>
    <w:rsid w:val="00F809F7"/>
    <w:rsid w:val="00F859D6"/>
    <w:rsid w:val="00F9227C"/>
    <w:rsid w:val="00F9536C"/>
    <w:rsid w:val="00FB0332"/>
    <w:rsid w:val="00FB16A0"/>
    <w:rsid w:val="00FB2288"/>
    <w:rsid w:val="00FB3776"/>
    <w:rsid w:val="00FC2D19"/>
    <w:rsid w:val="00FC4428"/>
    <w:rsid w:val="00FC5B29"/>
    <w:rsid w:val="00FC7294"/>
    <w:rsid w:val="00FD53F1"/>
    <w:rsid w:val="00FE1053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06DFE9-A89A-4CF5-9845-31025971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F3"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341A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nhideWhenUsed/>
    <w:qFormat/>
    <w:rsid w:val="00D468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65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B3776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E1075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7C2E38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7C2E38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6948"/>
    <w:rPr>
      <w:sz w:val="20"/>
      <w:szCs w:val="20"/>
    </w:rPr>
  </w:style>
  <w:style w:type="character" w:styleId="Refernciadenotaapeudepgina">
    <w:name w:val="footnote reference"/>
    <w:basedOn w:val="Tipusdelletraperdefectedelpargraf"/>
    <w:semiHidden/>
    <w:rsid w:val="00DF6948"/>
    <w:rPr>
      <w:vertAlign w:val="superscript"/>
    </w:rPr>
  </w:style>
  <w:style w:type="character" w:styleId="Refernciadecomentari">
    <w:name w:val="annotation reference"/>
    <w:basedOn w:val="Tipusdelletraperdefectedelpargraf"/>
    <w:semiHidden/>
    <w:rsid w:val="00F809F7"/>
    <w:rPr>
      <w:sz w:val="16"/>
      <w:szCs w:val="16"/>
    </w:rPr>
  </w:style>
  <w:style w:type="paragraph" w:styleId="Textdecomentari">
    <w:name w:val="annotation text"/>
    <w:basedOn w:val="Normal"/>
    <w:semiHidden/>
    <w:rsid w:val="00F809F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F809F7"/>
    <w:rPr>
      <w:b/>
      <w:bCs/>
    </w:rPr>
  </w:style>
  <w:style w:type="paragraph" w:styleId="Pargrafdellista">
    <w:name w:val="List Paragraph"/>
    <w:basedOn w:val="Normal"/>
    <w:uiPriority w:val="34"/>
    <w:qFormat/>
    <w:rsid w:val="00DE538E"/>
    <w:pPr>
      <w:ind w:left="708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23BAF"/>
    <w:rPr>
      <w:sz w:val="24"/>
      <w:szCs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123BAF"/>
    <w:rPr>
      <w:sz w:val="24"/>
      <w:szCs w:val="24"/>
      <w:lang w:eastAsia="es-ES"/>
    </w:rPr>
  </w:style>
  <w:style w:type="paragraph" w:customStyle="1" w:styleId="Pargrafdellista1">
    <w:name w:val="Paràgraf de llista1"/>
    <w:basedOn w:val="Normal"/>
    <w:rsid w:val="00E478DA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parrafo">
    <w:name w:val="parrafo"/>
    <w:basedOn w:val="Normal"/>
    <w:rsid w:val="00681D2A"/>
    <w:pPr>
      <w:spacing w:before="100" w:beforeAutospacing="1" w:after="100" w:afterAutospacing="1"/>
    </w:pPr>
    <w:rPr>
      <w:lang w:eastAsia="ca-ES"/>
    </w:rPr>
  </w:style>
  <w:style w:type="character" w:customStyle="1" w:styleId="apple-converted-space">
    <w:name w:val="apple-converted-space"/>
    <w:basedOn w:val="Tipusdelletraperdefectedelpargraf"/>
    <w:rsid w:val="00681D2A"/>
  </w:style>
  <w:style w:type="paragraph" w:styleId="Textindependent">
    <w:name w:val="Body Text"/>
    <w:basedOn w:val="Normal"/>
    <w:link w:val="TextindependentCar"/>
    <w:uiPriority w:val="99"/>
    <w:rsid w:val="007423B4"/>
    <w:pPr>
      <w:jc w:val="both"/>
    </w:pPr>
    <w:rPr>
      <w:rFonts w:ascii="Arial" w:hAnsi="Arial"/>
      <w:szCs w:val="20"/>
      <w:lang w:eastAsia="es-ES_tradnl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7423B4"/>
    <w:rPr>
      <w:rFonts w:ascii="Arial" w:hAnsi="Arial"/>
      <w:sz w:val="24"/>
      <w:lang w:eastAsia="es-ES_tradnl"/>
    </w:rPr>
  </w:style>
  <w:style w:type="table" w:styleId="Taulaambquadrcula">
    <w:name w:val="Table Grid"/>
    <w:basedOn w:val="Taulanormal"/>
    <w:rsid w:val="00F5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341ACA"/>
    <w:rPr>
      <w:rFonts w:ascii="Cambria" w:eastAsia="Times New Roman" w:hAnsi="Cambria" w:cs="Times New Roman"/>
      <w:b/>
      <w:bCs/>
      <w:kern w:val="32"/>
      <w:sz w:val="32"/>
      <w:szCs w:val="32"/>
      <w:lang w:val="ca-E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341A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character" w:customStyle="1" w:styleId="Ttol2Car">
    <w:name w:val="Títol 2 Car"/>
    <w:basedOn w:val="Tipusdelletraperdefectedelpargraf"/>
    <w:link w:val="Ttol2"/>
    <w:rsid w:val="00D468F2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paragraph" w:styleId="IDC1">
    <w:name w:val="toc 1"/>
    <w:basedOn w:val="Normal"/>
    <w:next w:val="Normal"/>
    <w:autoRedefine/>
    <w:uiPriority w:val="39"/>
    <w:rsid w:val="00F765E6"/>
    <w:pPr>
      <w:tabs>
        <w:tab w:val="right" w:leader="dot" w:pos="8494"/>
      </w:tabs>
      <w:spacing w:line="280" w:lineRule="atLeast"/>
      <w:contextualSpacing/>
    </w:pPr>
    <w:rPr>
      <w:rFonts w:ascii="Arial" w:hAnsi="Arial"/>
      <w:b/>
      <w:sz w:val="20"/>
    </w:rPr>
  </w:style>
  <w:style w:type="paragraph" w:styleId="IDC2">
    <w:name w:val="toc 2"/>
    <w:basedOn w:val="Normal"/>
    <w:next w:val="Normal"/>
    <w:autoRedefine/>
    <w:uiPriority w:val="39"/>
    <w:rsid w:val="00F765E6"/>
    <w:pPr>
      <w:tabs>
        <w:tab w:val="right" w:leader="dot" w:pos="8494"/>
      </w:tabs>
      <w:spacing w:line="360" w:lineRule="auto"/>
      <w:ind w:left="238"/>
    </w:pPr>
    <w:rPr>
      <w:rFonts w:ascii="Arial" w:hAnsi="Arial" w:cs="Arial"/>
      <w:noProof/>
      <w:sz w:val="20"/>
    </w:rPr>
  </w:style>
  <w:style w:type="character" w:styleId="Enlla">
    <w:name w:val="Hyperlink"/>
    <w:basedOn w:val="Tipusdelletraperdefectedelpargraf"/>
    <w:uiPriority w:val="99"/>
    <w:unhideWhenUsed/>
    <w:rsid w:val="00D468F2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rsid w:val="00F765E6"/>
    <w:rPr>
      <w:rFonts w:ascii="Cambria" w:eastAsia="Times New Roman" w:hAnsi="Cambria" w:cs="Times New Roman"/>
      <w:b/>
      <w:bCs/>
      <w:sz w:val="26"/>
      <w:szCs w:val="26"/>
      <w:lang w:val="ca-ES"/>
    </w:rPr>
  </w:style>
  <w:style w:type="paragraph" w:styleId="IDC3">
    <w:name w:val="toc 3"/>
    <w:basedOn w:val="Normal"/>
    <w:next w:val="Normal"/>
    <w:autoRedefine/>
    <w:uiPriority w:val="39"/>
    <w:rsid w:val="00985358"/>
    <w:pPr>
      <w:tabs>
        <w:tab w:val="right" w:leader="dot" w:pos="8494"/>
      </w:tabs>
      <w:spacing w:line="360" w:lineRule="auto"/>
      <w:ind w:left="482"/>
    </w:p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FB37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196">
          <w:marLeft w:val="138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66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377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097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53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9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APA Fifth Edition" SelectedStyle="\APA.XSL"/>
</file>

<file path=customXml/itemProps1.xml><?xml version="1.0" encoding="utf-8"?>
<ds:datastoreItem xmlns:ds="http://schemas.openxmlformats.org/officeDocument/2006/customXml" ds:itemID="{9682A7E5-AFBD-4623-B732-F77F85D1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PROGRAMES EN COL•LABORACIÓ AMB ALTRES INSTITUCIONS</vt:lpstr>
      <vt:lpstr>PROGRAMES EN COL•LABORACIÓ AMB ALTRES INSTITUCIONS</vt:lpstr>
    </vt:vector>
  </TitlesOfParts>
  <Company>UOC</Company>
  <LinksUpToDate>false</LinksUpToDate>
  <CharactersWithSpaces>4280</CharactersWithSpaces>
  <SharedDoc>false</SharedDoc>
  <HLinks>
    <vt:vector size="90" baseType="variant"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_Toc399950452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_Toc399950451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_Toc399950450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_Toc399950449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_Toc399950448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_Toc399950447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_Toc399950446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_Toc399950445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_Toc399950444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_Toc399950443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_Toc399950442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_Toc399950441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_Toc399950440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_Toc399950439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_Toc399950438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PROGRAMES EN COL•LABORACIÓ AMB ALTRES INSTITUCIONS</dc:title>
  <dc:creator>Adminsitrador del Sistema</dc:creator>
  <cp:lastModifiedBy>Cristina Palmés Orero</cp:lastModifiedBy>
  <cp:revision>3</cp:revision>
  <cp:lastPrinted>2014-10-01T09:34:00Z</cp:lastPrinted>
  <dcterms:created xsi:type="dcterms:W3CDTF">2017-09-26T13:37:00Z</dcterms:created>
  <dcterms:modified xsi:type="dcterms:W3CDTF">2017-09-26T14:09:00Z</dcterms:modified>
</cp:coreProperties>
</file>